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33BC" w14:textId="77777777" w:rsidR="00BC66CD" w:rsidRPr="008D2F95" w:rsidRDefault="00BC66CD">
      <w:pPr>
        <w:rPr>
          <w:sz w:val="24"/>
          <w:szCs w:val="24"/>
        </w:rPr>
      </w:pPr>
    </w:p>
    <w:p w14:paraId="398BB352" w14:textId="568FEBB0" w:rsidR="00DC43ED" w:rsidRPr="00DC43ED" w:rsidRDefault="00615FC0" w:rsidP="00DC43E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January 26, 2022</w:t>
      </w:r>
    </w:p>
    <w:p w14:paraId="3F6B1F17" w14:textId="6DDD69A4" w:rsidR="00DC43ED" w:rsidRDefault="00DC43ED" w:rsidP="00DC43ED">
      <w:pPr>
        <w:rPr>
          <w:rFonts w:eastAsia="Calibri"/>
          <w:b/>
          <w:bCs/>
          <w:sz w:val="24"/>
          <w:szCs w:val="24"/>
        </w:rPr>
      </w:pPr>
    </w:p>
    <w:p w14:paraId="622AACCA" w14:textId="1A33B719" w:rsidR="00C57A70" w:rsidRDefault="00C57A70" w:rsidP="00DC43ED">
      <w:pPr>
        <w:rPr>
          <w:rFonts w:eastAsia="Calibri"/>
          <w:b/>
          <w:bCs/>
          <w:sz w:val="24"/>
          <w:szCs w:val="24"/>
        </w:rPr>
      </w:pPr>
    </w:p>
    <w:p w14:paraId="4D03FB45" w14:textId="77777777" w:rsidR="00C57A70" w:rsidRPr="00DC43ED" w:rsidRDefault="00C57A70" w:rsidP="00DC43ED">
      <w:pPr>
        <w:rPr>
          <w:rFonts w:eastAsia="Calibri"/>
          <w:b/>
          <w:bCs/>
          <w:sz w:val="24"/>
          <w:szCs w:val="24"/>
        </w:rPr>
      </w:pPr>
    </w:p>
    <w:p w14:paraId="0B948814" w14:textId="4143F0EC" w:rsidR="00DC43ED" w:rsidRPr="00DC43ED" w:rsidRDefault="00DC43ED" w:rsidP="00DC43ED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>Dear Higher Education Emergency Relief Grantee:</w:t>
      </w:r>
    </w:p>
    <w:p w14:paraId="5C352F1F" w14:textId="77777777" w:rsidR="00DC43ED" w:rsidRPr="00DC43ED" w:rsidRDefault="00DC43ED" w:rsidP="00DC43ED">
      <w:pPr>
        <w:rPr>
          <w:rFonts w:eastAsia="Calibri"/>
          <w:sz w:val="24"/>
          <w:szCs w:val="24"/>
        </w:rPr>
      </w:pPr>
    </w:p>
    <w:p w14:paraId="7F5D9984" w14:textId="4C47007E" w:rsidR="00DC43ED" w:rsidRPr="00DC43ED" w:rsidRDefault="00DC43ED" w:rsidP="00DC43ED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>This letter is to inform you that the U.S. Department of Education (</w:t>
      </w:r>
      <w:r w:rsidR="00FC64D6">
        <w:rPr>
          <w:rFonts w:eastAsia="Calibri"/>
          <w:sz w:val="24"/>
          <w:szCs w:val="24"/>
        </w:rPr>
        <w:t>Department</w:t>
      </w:r>
      <w:r w:rsidRPr="00DC43ED">
        <w:rPr>
          <w:rFonts w:eastAsia="Calibri"/>
          <w:sz w:val="24"/>
          <w:szCs w:val="24"/>
        </w:rPr>
        <w:t>) has completed a final review of the grant identified in this email and determined that the terms and conditions of the grant were met.</w:t>
      </w:r>
      <w:r w:rsidR="00FC64D6">
        <w:rPr>
          <w:rFonts w:eastAsia="Calibri"/>
          <w:sz w:val="24"/>
          <w:szCs w:val="24"/>
        </w:rPr>
        <w:t xml:space="preserve"> </w:t>
      </w:r>
      <w:r w:rsidRPr="00DC43ED">
        <w:rPr>
          <w:rFonts w:eastAsia="Calibri"/>
          <w:sz w:val="24"/>
          <w:szCs w:val="24"/>
        </w:rPr>
        <w:t xml:space="preserve">This grant is considered in compliance with the 2 CFR § 200.344. Therefore, </w:t>
      </w:r>
      <w:r w:rsidR="00FC64D6">
        <w:rPr>
          <w:rFonts w:eastAsia="Calibri"/>
          <w:sz w:val="24"/>
          <w:szCs w:val="24"/>
        </w:rPr>
        <w:t xml:space="preserve">the Department </w:t>
      </w:r>
      <w:r w:rsidRPr="00DC43ED">
        <w:rPr>
          <w:rFonts w:eastAsia="Calibri"/>
          <w:sz w:val="24"/>
          <w:szCs w:val="24"/>
        </w:rPr>
        <w:t>is officially closing this grant.</w:t>
      </w:r>
    </w:p>
    <w:p w14:paraId="44D75450" w14:textId="77777777" w:rsidR="00DC43ED" w:rsidRPr="00DC43ED" w:rsidRDefault="00DC43ED" w:rsidP="00DC43ED">
      <w:pPr>
        <w:rPr>
          <w:rFonts w:eastAsia="Calibri"/>
          <w:sz w:val="24"/>
          <w:szCs w:val="24"/>
        </w:rPr>
      </w:pPr>
    </w:p>
    <w:p w14:paraId="13CA688B" w14:textId="64718F42" w:rsidR="00DC43ED" w:rsidRPr="00DC43ED" w:rsidRDefault="00DC43ED" w:rsidP="00DC43ED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 xml:space="preserve">Please be aware that, even after </w:t>
      </w:r>
      <w:r w:rsidR="00FC64D6">
        <w:rPr>
          <w:rFonts w:eastAsia="Calibri"/>
          <w:sz w:val="24"/>
          <w:szCs w:val="24"/>
        </w:rPr>
        <w:t>the Department c</w:t>
      </w:r>
      <w:r w:rsidRPr="00DC43ED">
        <w:rPr>
          <w:rFonts w:eastAsia="Calibri"/>
          <w:sz w:val="24"/>
          <w:szCs w:val="24"/>
        </w:rPr>
        <w:t>loses out the grant award, grantees are required by regulations to maintain records related to a grant award for three years after the award ends.</w:t>
      </w:r>
      <w:r w:rsidR="00FC64D6">
        <w:rPr>
          <w:rFonts w:eastAsia="Calibri"/>
          <w:sz w:val="24"/>
          <w:szCs w:val="24"/>
        </w:rPr>
        <w:t xml:space="preserve"> </w:t>
      </w:r>
      <w:r w:rsidRPr="00DC43ED">
        <w:rPr>
          <w:rFonts w:eastAsia="Calibri"/>
          <w:sz w:val="24"/>
          <w:szCs w:val="24"/>
        </w:rPr>
        <w:t>Further information on retention and access requirements for records can be found in Education Department General Administrative Regulations (EDGAR) at §74.53 and §80.42 and Uniform Guidance 2 CFR § 200.334.</w:t>
      </w:r>
      <w:r w:rsidR="00FC64D6">
        <w:rPr>
          <w:rFonts w:eastAsia="Calibri"/>
          <w:sz w:val="24"/>
          <w:szCs w:val="24"/>
        </w:rPr>
        <w:t xml:space="preserve"> </w:t>
      </w:r>
      <w:r w:rsidRPr="00DC43ED">
        <w:rPr>
          <w:rFonts w:eastAsia="Calibri"/>
          <w:sz w:val="24"/>
          <w:szCs w:val="24"/>
        </w:rPr>
        <w:t xml:space="preserve">In addition, </w:t>
      </w:r>
      <w:r w:rsidR="00FC64D6">
        <w:rPr>
          <w:rFonts w:eastAsia="Calibri"/>
          <w:sz w:val="24"/>
          <w:szCs w:val="24"/>
        </w:rPr>
        <w:t xml:space="preserve">Department </w:t>
      </w:r>
      <w:r w:rsidRPr="00DC43ED">
        <w:rPr>
          <w:rFonts w:eastAsia="Calibri"/>
          <w:sz w:val="24"/>
          <w:szCs w:val="24"/>
        </w:rPr>
        <w:t>grant projects are also subject to post-grant Federal audit and various after-the-grant requirements found in 34 CFR §608.41</w:t>
      </w:r>
      <w:r w:rsidR="00FC64D6">
        <w:rPr>
          <w:rFonts w:eastAsia="Calibri"/>
          <w:sz w:val="24"/>
          <w:szCs w:val="24"/>
        </w:rPr>
        <w:t>.</w:t>
      </w:r>
    </w:p>
    <w:p w14:paraId="57194A0D" w14:textId="6F7C3E7C" w:rsidR="00DC43ED" w:rsidRDefault="00DC43ED" w:rsidP="00DC43ED">
      <w:pPr>
        <w:rPr>
          <w:rFonts w:eastAsia="Calibri"/>
          <w:sz w:val="24"/>
          <w:szCs w:val="24"/>
        </w:rPr>
      </w:pPr>
    </w:p>
    <w:p w14:paraId="0C761C4D" w14:textId="77777777" w:rsidR="00FC64D6" w:rsidRPr="00DC43ED" w:rsidRDefault="00FC64D6" w:rsidP="00DC43ED">
      <w:pPr>
        <w:rPr>
          <w:rFonts w:eastAsia="Calibri"/>
          <w:sz w:val="24"/>
          <w:szCs w:val="24"/>
        </w:rPr>
      </w:pPr>
    </w:p>
    <w:p w14:paraId="003ABF5A" w14:textId="6EA88A14" w:rsidR="00DC43ED" w:rsidRDefault="00DC43ED" w:rsidP="00DC43ED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>Sincerely,</w:t>
      </w:r>
    </w:p>
    <w:p w14:paraId="52C6013F" w14:textId="77777777" w:rsidR="0000288F" w:rsidRDefault="0000288F" w:rsidP="00DC43ED">
      <w:pPr>
        <w:rPr>
          <w:rFonts w:eastAsia="Calibri"/>
          <w:sz w:val="24"/>
          <w:szCs w:val="24"/>
        </w:rPr>
      </w:pPr>
    </w:p>
    <w:p w14:paraId="68CB7F03" w14:textId="0E27B315" w:rsidR="00DC43ED" w:rsidRPr="00615FC0" w:rsidRDefault="00615FC0" w:rsidP="00DC43ED">
      <w:pPr>
        <w:rPr>
          <w:rFonts w:ascii="Brush Script MT" w:eastAsia="Calibri" w:hAnsi="Brush Script MT"/>
          <w:sz w:val="32"/>
          <w:szCs w:val="32"/>
        </w:rPr>
      </w:pPr>
      <w:r w:rsidRPr="00615FC0">
        <w:rPr>
          <w:rFonts w:ascii="Brush Script MT" w:eastAsia="Calibri" w:hAnsi="Brush Script MT"/>
          <w:sz w:val="32"/>
          <w:szCs w:val="32"/>
        </w:rPr>
        <w:t>Lillie I. Gaynor-Vessels, M.Ed.</w:t>
      </w:r>
    </w:p>
    <w:p w14:paraId="1E6CECF3" w14:textId="77777777" w:rsidR="00FC64D6" w:rsidRPr="00DC43ED" w:rsidRDefault="00FC64D6" w:rsidP="00DC43ED">
      <w:pPr>
        <w:rPr>
          <w:rFonts w:eastAsia="Calibri"/>
          <w:sz w:val="24"/>
          <w:szCs w:val="24"/>
        </w:rPr>
      </w:pPr>
    </w:p>
    <w:p w14:paraId="190E978A" w14:textId="10518CF5" w:rsidR="00FC64D6" w:rsidRPr="00DC43ED" w:rsidRDefault="00615FC0" w:rsidP="00FC64D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Lillie I. Gaynor-Vessels, M.Ed.</w:t>
      </w:r>
    </w:p>
    <w:p w14:paraId="5FD851E4" w14:textId="3ADBB027" w:rsidR="00FC64D6" w:rsidRPr="00DC43ED" w:rsidRDefault="00615FC0" w:rsidP="00FC64D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Management and Program Analyst</w:t>
      </w:r>
    </w:p>
    <w:p w14:paraId="08CA709F" w14:textId="2E14423F" w:rsidR="00FC64D6" w:rsidRPr="00DC43ED" w:rsidRDefault="00FC64D6" w:rsidP="00FC64D6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>Higher Education Emergency Response Unit</w:t>
      </w:r>
    </w:p>
    <w:p w14:paraId="594F409A" w14:textId="77777777" w:rsidR="00FC64D6" w:rsidRPr="00DC43ED" w:rsidRDefault="00FC64D6" w:rsidP="00FC64D6">
      <w:pPr>
        <w:rPr>
          <w:rFonts w:eastAsia="Calibri"/>
          <w:sz w:val="24"/>
          <w:szCs w:val="24"/>
        </w:rPr>
      </w:pPr>
    </w:p>
    <w:p w14:paraId="61D49372" w14:textId="77777777" w:rsidR="00DC43ED" w:rsidRPr="00DC43ED" w:rsidRDefault="00DC43ED" w:rsidP="00DC43ED">
      <w:pPr>
        <w:rPr>
          <w:rFonts w:eastAsia="Calibri"/>
          <w:sz w:val="24"/>
          <w:szCs w:val="24"/>
        </w:rPr>
      </w:pPr>
    </w:p>
    <w:p w14:paraId="7B975DD6" w14:textId="0342143A" w:rsidR="00DC43ED" w:rsidRPr="00DC43ED" w:rsidRDefault="00DC43ED" w:rsidP="00FC64D6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ab/>
      </w:r>
      <w:r w:rsidRPr="00DC43ED">
        <w:rPr>
          <w:rFonts w:eastAsia="Calibri"/>
          <w:sz w:val="24"/>
          <w:szCs w:val="24"/>
        </w:rPr>
        <w:tab/>
      </w:r>
      <w:r w:rsidRPr="00DC43ED">
        <w:rPr>
          <w:rFonts w:eastAsia="Calibri"/>
          <w:sz w:val="24"/>
          <w:szCs w:val="24"/>
        </w:rPr>
        <w:tab/>
      </w:r>
      <w:r w:rsidRPr="00DC43ED">
        <w:rPr>
          <w:rFonts w:eastAsia="Calibri"/>
          <w:sz w:val="24"/>
          <w:szCs w:val="24"/>
        </w:rPr>
        <w:tab/>
      </w:r>
      <w:r w:rsidRPr="00DC43ED">
        <w:rPr>
          <w:rFonts w:eastAsia="Calibri"/>
          <w:sz w:val="24"/>
          <w:szCs w:val="24"/>
        </w:rPr>
        <w:tab/>
      </w:r>
      <w:r w:rsidRPr="00DC43ED">
        <w:rPr>
          <w:rFonts w:eastAsia="Calibri"/>
          <w:sz w:val="24"/>
          <w:szCs w:val="24"/>
        </w:rPr>
        <w:tab/>
      </w:r>
    </w:p>
    <w:p w14:paraId="78F7C4EA" w14:textId="77777777" w:rsidR="00DC43ED" w:rsidRPr="00DC43ED" w:rsidRDefault="00DC43ED" w:rsidP="00DC43ED">
      <w:pPr>
        <w:rPr>
          <w:rFonts w:eastAsia="Calibri"/>
          <w:sz w:val="24"/>
          <w:szCs w:val="24"/>
        </w:rPr>
      </w:pPr>
      <w:r w:rsidRPr="00DC43ED">
        <w:rPr>
          <w:rFonts w:eastAsia="Calibri"/>
          <w:sz w:val="24"/>
          <w:szCs w:val="24"/>
        </w:rPr>
        <w:t>cc:  State Authorizing Official</w:t>
      </w:r>
    </w:p>
    <w:p w14:paraId="544A2DAF" w14:textId="77777777" w:rsidR="00DC43ED" w:rsidRPr="00DC43ED" w:rsidRDefault="00DC43ED" w:rsidP="00DC43ED">
      <w:pPr>
        <w:rPr>
          <w:rFonts w:eastAsia="Calibri"/>
          <w:sz w:val="24"/>
          <w:szCs w:val="24"/>
        </w:rPr>
      </w:pPr>
    </w:p>
    <w:p w14:paraId="30BB8012" w14:textId="77777777" w:rsidR="00343037" w:rsidRPr="00DC43ED" w:rsidRDefault="00343037">
      <w:pPr>
        <w:rPr>
          <w:sz w:val="24"/>
          <w:szCs w:val="24"/>
        </w:rPr>
      </w:pPr>
    </w:p>
    <w:p w14:paraId="242CF899" w14:textId="77777777" w:rsidR="00343037" w:rsidRPr="00DC43ED" w:rsidRDefault="00343037">
      <w:pPr>
        <w:rPr>
          <w:sz w:val="24"/>
          <w:szCs w:val="24"/>
        </w:rPr>
      </w:pPr>
    </w:p>
    <w:p w14:paraId="6C49D90D" w14:textId="77777777" w:rsidR="00086E4B" w:rsidRDefault="00086E4B">
      <w:pPr>
        <w:rPr>
          <w:sz w:val="24"/>
          <w:szCs w:val="24"/>
        </w:rPr>
      </w:pPr>
    </w:p>
    <w:p w14:paraId="6818AEE6" w14:textId="77777777" w:rsidR="00086E4B" w:rsidRDefault="00086E4B">
      <w:pPr>
        <w:rPr>
          <w:sz w:val="24"/>
          <w:szCs w:val="24"/>
        </w:rPr>
      </w:pPr>
    </w:p>
    <w:p w14:paraId="15FA8C0B" w14:textId="77777777" w:rsidR="00086E4B" w:rsidRDefault="00086E4B">
      <w:pPr>
        <w:rPr>
          <w:sz w:val="24"/>
          <w:szCs w:val="24"/>
        </w:rPr>
      </w:pPr>
    </w:p>
    <w:p w14:paraId="47DB3758" w14:textId="77777777" w:rsidR="00086E4B" w:rsidRDefault="00086E4B">
      <w:pPr>
        <w:rPr>
          <w:sz w:val="24"/>
          <w:szCs w:val="24"/>
        </w:rPr>
      </w:pPr>
    </w:p>
    <w:p w14:paraId="3FE71165" w14:textId="77777777" w:rsidR="00086E4B" w:rsidRDefault="00086E4B">
      <w:pPr>
        <w:rPr>
          <w:sz w:val="24"/>
          <w:szCs w:val="24"/>
        </w:rPr>
      </w:pPr>
    </w:p>
    <w:p w14:paraId="1E933526" w14:textId="77777777" w:rsidR="00086E4B" w:rsidRDefault="00086E4B">
      <w:pPr>
        <w:rPr>
          <w:sz w:val="24"/>
          <w:szCs w:val="24"/>
        </w:rPr>
      </w:pPr>
    </w:p>
    <w:p w14:paraId="106AA409" w14:textId="77777777" w:rsidR="00B40CC0" w:rsidRDefault="00B40CC0">
      <w:pPr>
        <w:rPr>
          <w:sz w:val="24"/>
          <w:szCs w:val="24"/>
        </w:rPr>
      </w:pPr>
    </w:p>
    <w:sectPr w:rsidR="00B40CC0" w:rsidSect="007A5D6C"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972E" w14:textId="77777777" w:rsidR="00C94B40" w:rsidRDefault="00C94B40" w:rsidP="007A5D6C">
      <w:r>
        <w:separator/>
      </w:r>
    </w:p>
  </w:endnote>
  <w:endnote w:type="continuationSeparator" w:id="0">
    <w:p w14:paraId="7D70E74D" w14:textId="77777777" w:rsidR="00C94B40" w:rsidRDefault="00C94B40" w:rsidP="007A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D55C" w14:textId="77777777" w:rsidR="0044150F" w:rsidRDefault="004415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A87">
      <w:rPr>
        <w:noProof/>
      </w:rPr>
      <w:t>2</w:t>
    </w:r>
    <w:r>
      <w:fldChar w:fldCharType="end"/>
    </w:r>
  </w:p>
  <w:p w14:paraId="4371F859" w14:textId="77777777" w:rsidR="0044150F" w:rsidRDefault="00441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F806" w14:textId="77777777" w:rsidR="00E01F37" w:rsidRPr="00E01F37" w:rsidRDefault="00F80B94" w:rsidP="00E01F37">
    <w:pPr>
      <w:pStyle w:val="Footer"/>
      <w:jc w:val="center"/>
      <w:rPr>
        <w:color w:val="1F497D"/>
      </w:rPr>
    </w:pPr>
    <w:r>
      <w:rPr>
        <w:color w:val="1F497D"/>
      </w:rPr>
      <w:t xml:space="preserve">400 </w:t>
    </w:r>
    <w:r w:rsidRPr="00F80B94">
      <w:rPr>
        <w:caps/>
        <w:color w:val="1F497D"/>
      </w:rPr>
      <w:t>Maryland Avenue</w:t>
    </w:r>
    <w:r>
      <w:rPr>
        <w:color w:val="1F497D"/>
      </w:rPr>
      <w:t>, S.W., WASHINGTON, DC  20202</w:t>
    </w:r>
  </w:p>
  <w:p w14:paraId="0C9EBE79" w14:textId="77777777" w:rsidR="00E01F37" w:rsidRPr="00E01F37" w:rsidRDefault="00E01F37" w:rsidP="00E01F37">
    <w:pPr>
      <w:pStyle w:val="Footer"/>
      <w:jc w:val="center"/>
      <w:rPr>
        <w:color w:val="1F497D"/>
      </w:rPr>
    </w:pPr>
    <w:r w:rsidRPr="00E01F37">
      <w:rPr>
        <w:color w:val="1F497D"/>
      </w:rPr>
      <w:t>www.ed.gov</w:t>
    </w:r>
  </w:p>
  <w:p w14:paraId="40FDD597" w14:textId="77777777" w:rsidR="00E01F37" w:rsidRPr="00E01F37" w:rsidRDefault="00E01F37" w:rsidP="00E01F37">
    <w:pPr>
      <w:pStyle w:val="Footer"/>
      <w:jc w:val="center"/>
      <w:rPr>
        <w:color w:val="1F497D"/>
      </w:rPr>
    </w:pPr>
  </w:p>
  <w:p w14:paraId="64F7CD15" w14:textId="77777777" w:rsidR="00E01F37" w:rsidRPr="00E01F37" w:rsidRDefault="00E01F37">
    <w:pPr>
      <w:pStyle w:val="Footer"/>
      <w:rPr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1F58" w14:textId="77777777" w:rsidR="00C94B40" w:rsidRDefault="00C94B40" w:rsidP="007A5D6C">
      <w:r>
        <w:separator/>
      </w:r>
    </w:p>
  </w:footnote>
  <w:footnote w:type="continuationSeparator" w:id="0">
    <w:p w14:paraId="5F5BADD8" w14:textId="77777777" w:rsidR="00C94B40" w:rsidRDefault="00C94B40" w:rsidP="007A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97DC" w14:textId="3F9B169D" w:rsidR="00705050" w:rsidRPr="00E01F37" w:rsidRDefault="00DC43ED" w:rsidP="00385DFF">
    <w:pPr>
      <w:ind w:left="720"/>
      <w:jc w:val="center"/>
      <w:rPr>
        <w:color w:val="1F497D"/>
      </w:rPr>
    </w:pPr>
    <w:r w:rsidRPr="00E01F37">
      <w:rPr>
        <w:noProof/>
        <w:color w:val="1F497D"/>
      </w:rPr>
      <w:drawing>
        <wp:anchor distT="0" distB="0" distL="114300" distR="114300" simplePos="0" relativeHeight="251657728" behindDoc="1" locked="1" layoutInCell="0" allowOverlap="1" wp14:anchorId="5B3C7E89" wp14:editId="40FCDC45">
          <wp:simplePos x="0" y="0"/>
          <wp:positionH relativeFrom="column">
            <wp:posOffset>-182880</wp:posOffset>
          </wp:positionH>
          <wp:positionV relativeFrom="paragraph">
            <wp:posOffset>-91440</wp:posOffset>
          </wp:positionV>
          <wp:extent cx="822960" cy="786765"/>
          <wp:effectExtent l="0" t="0" r="0" b="0"/>
          <wp:wrapThrough wrapText="bothSides">
            <wp:wrapPolygon edited="0">
              <wp:start x="0" y="0"/>
              <wp:lineTo x="0" y="20920"/>
              <wp:lineTo x="21000" y="20920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50" w:rsidRPr="00E01F37">
      <w:rPr>
        <w:rFonts w:ascii="Bookman Old Style" w:hAnsi="Bookman Old Style"/>
        <w:b/>
        <w:color w:val="1F497D"/>
        <w:sz w:val="24"/>
      </w:rPr>
      <w:t>UNITED STATES DEPARTMENT OF EDUCATION</w:t>
    </w:r>
  </w:p>
  <w:p w14:paraId="558ED8AB" w14:textId="77777777" w:rsidR="00705050" w:rsidRPr="00E01F37" w:rsidRDefault="00705050" w:rsidP="00B81B7E">
    <w:pPr>
      <w:jc w:val="center"/>
      <w:rPr>
        <w:color w:val="1F497D"/>
      </w:rPr>
    </w:pPr>
    <w:r w:rsidRPr="00E01F37">
      <w:rPr>
        <w:color w:val="1F497D"/>
      </w:rPr>
      <w:t>OFFICE OF POSTSECONDARY EDUCATION</w:t>
    </w:r>
  </w:p>
  <w:p w14:paraId="7A146CC6" w14:textId="0E1F51F3" w:rsidR="00705050" w:rsidRDefault="00C312FE" w:rsidP="00B81B7E">
    <w:pPr>
      <w:jc w:val="center"/>
      <w:rPr>
        <w:color w:val="1F497D"/>
      </w:rPr>
    </w:pPr>
    <w:r>
      <w:rPr>
        <w:color w:val="1F497D"/>
      </w:rPr>
      <w:t>HIGER EDUCATION EMERGENCY RESPONSE UNIT</w:t>
    </w:r>
  </w:p>
  <w:p w14:paraId="62979ADC" w14:textId="77777777" w:rsidR="007A506C" w:rsidRPr="00E01F37" w:rsidRDefault="007A506C" w:rsidP="00B81B7E">
    <w:pPr>
      <w:jc w:val="center"/>
      <w:rPr>
        <w:color w:val="1F497D"/>
      </w:rPr>
    </w:pPr>
  </w:p>
  <w:p w14:paraId="7C9DF41E" w14:textId="77777777" w:rsidR="00705050" w:rsidRDefault="00705050" w:rsidP="00385D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C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C744C14"/>
    <w:multiLevelType w:val="singleLevel"/>
    <w:tmpl w:val="3B602E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A7"/>
    <w:rsid w:val="0000288F"/>
    <w:rsid w:val="00004CBA"/>
    <w:rsid w:val="00011030"/>
    <w:rsid w:val="00044308"/>
    <w:rsid w:val="0004508E"/>
    <w:rsid w:val="00057BAF"/>
    <w:rsid w:val="00060D41"/>
    <w:rsid w:val="000758F7"/>
    <w:rsid w:val="00086E4B"/>
    <w:rsid w:val="000A4C84"/>
    <w:rsid w:val="000A61D7"/>
    <w:rsid w:val="000C4AA6"/>
    <w:rsid w:val="000D0814"/>
    <w:rsid w:val="000F6899"/>
    <w:rsid w:val="000F6AD9"/>
    <w:rsid w:val="000F6B09"/>
    <w:rsid w:val="001014D0"/>
    <w:rsid w:val="00102C1D"/>
    <w:rsid w:val="00102D5E"/>
    <w:rsid w:val="0010468F"/>
    <w:rsid w:val="00105F80"/>
    <w:rsid w:val="00111D85"/>
    <w:rsid w:val="00126CD7"/>
    <w:rsid w:val="001341CD"/>
    <w:rsid w:val="00141F07"/>
    <w:rsid w:val="00144997"/>
    <w:rsid w:val="00144C86"/>
    <w:rsid w:val="00146C33"/>
    <w:rsid w:val="001903B8"/>
    <w:rsid w:val="001B0B5A"/>
    <w:rsid w:val="001B4A5E"/>
    <w:rsid w:val="001C3B02"/>
    <w:rsid w:val="001C76CA"/>
    <w:rsid w:val="001D3075"/>
    <w:rsid w:val="00223AF4"/>
    <w:rsid w:val="00230F85"/>
    <w:rsid w:val="002628F1"/>
    <w:rsid w:val="002A24FE"/>
    <w:rsid w:val="002B68E0"/>
    <w:rsid w:val="002B75FF"/>
    <w:rsid w:val="002C4128"/>
    <w:rsid w:val="002E751C"/>
    <w:rsid w:val="00311DE6"/>
    <w:rsid w:val="00324617"/>
    <w:rsid w:val="00325559"/>
    <w:rsid w:val="00343037"/>
    <w:rsid w:val="00364C0B"/>
    <w:rsid w:val="00382B70"/>
    <w:rsid w:val="003831EE"/>
    <w:rsid w:val="00385DFF"/>
    <w:rsid w:val="003C3229"/>
    <w:rsid w:val="003D1730"/>
    <w:rsid w:val="003E4105"/>
    <w:rsid w:val="00401A30"/>
    <w:rsid w:val="004052AD"/>
    <w:rsid w:val="004060F4"/>
    <w:rsid w:val="00417975"/>
    <w:rsid w:val="00420554"/>
    <w:rsid w:val="0042524B"/>
    <w:rsid w:val="004359BD"/>
    <w:rsid w:val="0044150F"/>
    <w:rsid w:val="0045032A"/>
    <w:rsid w:val="00475ACB"/>
    <w:rsid w:val="005063D2"/>
    <w:rsid w:val="00512FB7"/>
    <w:rsid w:val="005401B6"/>
    <w:rsid w:val="00547CE0"/>
    <w:rsid w:val="005730DE"/>
    <w:rsid w:val="00581D60"/>
    <w:rsid w:val="00594887"/>
    <w:rsid w:val="005A0541"/>
    <w:rsid w:val="005A4E6D"/>
    <w:rsid w:val="005B138E"/>
    <w:rsid w:val="00601193"/>
    <w:rsid w:val="00602A6E"/>
    <w:rsid w:val="00615FC0"/>
    <w:rsid w:val="0064199D"/>
    <w:rsid w:val="006732BB"/>
    <w:rsid w:val="00677B6A"/>
    <w:rsid w:val="0068320E"/>
    <w:rsid w:val="00684287"/>
    <w:rsid w:val="006D3E36"/>
    <w:rsid w:val="006F693B"/>
    <w:rsid w:val="00703B6A"/>
    <w:rsid w:val="00704231"/>
    <w:rsid w:val="00705050"/>
    <w:rsid w:val="007140FF"/>
    <w:rsid w:val="007146BF"/>
    <w:rsid w:val="00760A6E"/>
    <w:rsid w:val="00763499"/>
    <w:rsid w:val="00775F24"/>
    <w:rsid w:val="007A10DA"/>
    <w:rsid w:val="007A506C"/>
    <w:rsid w:val="007A5D6C"/>
    <w:rsid w:val="007A623B"/>
    <w:rsid w:val="007C7C55"/>
    <w:rsid w:val="007D7AFE"/>
    <w:rsid w:val="007F44BC"/>
    <w:rsid w:val="00825C27"/>
    <w:rsid w:val="008404E6"/>
    <w:rsid w:val="00854202"/>
    <w:rsid w:val="0086651E"/>
    <w:rsid w:val="00867D95"/>
    <w:rsid w:val="008B01A7"/>
    <w:rsid w:val="008B0FF0"/>
    <w:rsid w:val="008B160E"/>
    <w:rsid w:val="008D2F95"/>
    <w:rsid w:val="008D670B"/>
    <w:rsid w:val="00934E18"/>
    <w:rsid w:val="00941A87"/>
    <w:rsid w:val="00950C89"/>
    <w:rsid w:val="0095240A"/>
    <w:rsid w:val="00957D2A"/>
    <w:rsid w:val="00965387"/>
    <w:rsid w:val="00970E66"/>
    <w:rsid w:val="00973252"/>
    <w:rsid w:val="00973ACC"/>
    <w:rsid w:val="00977E44"/>
    <w:rsid w:val="009A43DF"/>
    <w:rsid w:val="009B7A15"/>
    <w:rsid w:val="009F0976"/>
    <w:rsid w:val="00A15374"/>
    <w:rsid w:val="00A373E1"/>
    <w:rsid w:val="00A42C60"/>
    <w:rsid w:val="00A51C64"/>
    <w:rsid w:val="00A73572"/>
    <w:rsid w:val="00A75EF0"/>
    <w:rsid w:val="00A76C1A"/>
    <w:rsid w:val="00A97B91"/>
    <w:rsid w:val="00AA5BC8"/>
    <w:rsid w:val="00AB6320"/>
    <w:rsid w:val="00AC03AD"/>
    <w:rsid w:val="00AE0F61"/>
    <w:rsid w:val="00AE7038"/>
    <w:rsid w:val="00B04824"/>
    <w:rsid w:val="00B142B5"/>
    <w:rsid w:val="00B35B39"/>
    <w:rsid w:val="00B40CC0"/>
    <w:rsid w:val="00B81B7E"/>
    <w:rsid w:val="00BA7A6C"/>
    <w:rsid w:val="00BA7E6D"/>
    <w:rsid w:val="00BB437F"/>
    <w:rsid w:val="00BB5AD8"/>
    <w:rsid w:val="00BB7DA2"/>
    <w:rsid w:val="00BC66CD"/>
    <w:rsid w:val="00BF48CF"/>
    <w:rsid w:val="00BF62FC"/>
    <w:rsid w:val="00C24C13"/>
    <w:rsid w:val="00C25CD7"/>
    <w:rsid w:val="00C312FE"/>
    <w:rsid w:val="00C57A70"/>
    <w:rsid w:val="00C72EAA"/>
    <w:rsid w:val="00C94B40"/>
    <w:rsid w:val="00CC02E9"/>
    <w:rsid w:val="00CC6FF3"/>
    <w:rsid w:val="00D0156F"/>
    <w:rsid w:val="00D20131"/>
    <w:rsid w:val="00D27946"/>
    <w:rsid w:val="00D37C78"/>
    <w:rsid w:val="00D52210"/>
    <w:rsid w:val="00D5662A"/>
    <w:rsid w:val="00D80810"/>
    <w:rsid w:val="00D9447A"/>
    <w:rsid w:val="00DA3E87"/>
    <w:rsid w:val="00DC0AE5"/>
    <w:rsid w:val="00DC43ED"/>
    <w:rsid w:val="00E01F37"/>
    <w:rsid w:val="00E12683"/>
    <w:rsid w:val="00E16948"/>
    <w:rsid w:val="00E64A58"/>
    <w:rsid w:val="00E6599D"/>
    <w:rsid w:val="00E674F4"/>
    <w:rsid w:val="00E73ADD"/>
    <w:rsid w:val="00E875B5"/>
    <w:rsid w:val="00EA2A4C"/>
    <w:rsid w:val="00EA7B14"/>
    <w:rsid w:val="00EC1605"/>
    <w:rsid w:val="00EE1369"/>
    <w:rsid w:val="00EF1F9B"/>
    <w:rsid w:val="00EF5B0A"/>
    <w:rsid w:val="00EF6F07"/>
    <w:rsid w:val="00F017A4"/>
    <w:rsid w:val="00F035D3"/>
    <w:rsid w:val="00F1350B"/>
    <w:rsid w:val="00F220A1"/>
    <w:rsid w:val="00F30DB3"/>
    <w:rsid w:val="00F6186E"/>
    <w:rsid w:val="00F6327E"/>
    <w:rsid w:val="00F80B94"/>
    <w:rsid w:val="00F8599A"/>
    <w:rsid w:val="00FB55D9"/>
    <w:rsid w:val="00FC46D4"/>
    <w:rsid w:val="00FC64D6"/>
    <w:rsid w:val="00FD070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2F9E9"/>
  <w15:chartTrackingRefBased/>
  <w15:docId w15:val="{51370CFC-E193-44B5-AAF9-C5F0BC7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BodyText">
    <w:name w:val="Body Text"/>
    <w:basedOn w:val="Normal"/>
    <w:semiHidden/>
    <w:rPr>
      <w:sz w:val="22"/>
    </w:rPr>
  </w:style>
  <w:style w:type="paragraph" w:styleId="Caption">
    <w:name w:val="caption"/>
    <w:basedOn w:val="Normal"/>
    <w:next w:val="Normal"/>
    <w:qFormat/>
    <w:pPr>
      <w:ind w:left="4320" w:firstLine="720"/>
      <w:jc w:val="right"/>
    </w:pPr>
    <w:rPr>
      <w:b/>
      <w:bCs/>
      <w:sz w:val="52"/>
    </w:rPr>
  </w:style>
  <w:style w:type="paragraph" w:styleId="ListParagraph">
    <w:name w:val="List Paragraph"/>
    <w:basedOn w:val="Normal"/>
    <w:uiPriority w:val="34"/>
    <w:qFormat/>
    <w:rsid w:val="008D2F9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5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D6C"/>
  </w:style>
  <w:style w:type="paragraph" w:styleId="Footer">
    <w:name w:val="footer"/>
    <w:basedOn w:val="Normal"/>
    <w:link w:val="FooterChar"/>
    <w:uiPriority w:val="99"/>
    <w:unhideWhenUsed/>
    <w:rsid w:val="007A5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D6C"/>
  </w:style>
  <w:style w:type="paragraph" w:styleId="BalloonText">
    <w:name w:val="Balloon Text"/>
    <w:basedOn w:val="Normal"/>
    <w:link w:val="BalloonTextChar"/>
    <w:uiPriority w:val="99"/>
    <w:semiHidden/>
    <w:unhideWhenUsed/>
    <w:rsid w:val="007A1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0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1F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320E"/>
    <w:rPr>
      <w:color w:val="800080"/>
      <w:u w:val="single"/>
    </w:rPr>
  </w:style>
  <w:style w:type="character" w:customStyle="1" w:styleId="headerslevel11">
    <w:name w:val="headerslevel11"/>
    <w:rsid w:val="00B142B5"/>
    <w:rPr>
      <w:rFonts w:ascii="Georgia" w:hAnsi="Georgia" w:hint="default"/>
      <w:b w:val="0"/>
      <w:bCs w:val="0"/>
      <w:color w:val="004285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9744b0398426c8d1cb0209b7af451db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31efc6784ab61e220b634c02ecbc71e8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AAE72-8310-4E75-B8F8-4FE3FF6C7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D804C-B1D9-4101-987D-3BDE7C626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941BA-3B61-4326-8B59-C86E6EC4D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98526-1FBB-4A0F-88CD-2503C7D98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Project Director and Authorizing Official:</vt:lpstr>
    </vt:vector>
  </TitlesOfParts>
  <Company>U.S. Department of Education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Project Director and Authorizing Official:</dc:title>
  <dc:subject/>
  <dc:creator>Easterling, Sharon</dc:creator>
  <cp:keywords/>
  <cp:lastModifiedBy>Gaynor-Vessels, Lillie</cp:lastModifiedBy>
  <cp:revision>3</cp:revision>
  <cp:lastPrinted>2014-04-15T13:12:00Z</cp:lastPrinted>
  <dcterms:created xsi:type="dcterms:W3CDTF">2022-01-26T15:50:00Z</dcterms:created>
  <dcterms:modified xsi:type="dcterms:W3CDTF">2022-01-26T15:50:00Z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